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F5F7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方正黑体_GBK" w:hAnsi="方正黑体_GBK" w:eastAsia="方正黑体_GBK"/>
          <w:bCs/>
          <w:sz w:val="32"/>
          <w:szCs w:val="36"/>
        </w:rPr>
      </w:pPr>
      <w:r>
        <w:rPr>
          <w:rFonts w:ascii="方正黑体_GBK" w:hAnsi="方正黑体_GBK" w:eastAsia="方正黑体_GBK"/>
          <w:bCs/>
          <w:sz w:val="28"/>
          <w:szCs w:val="36"/>
        </w:rPr>
        <w:t>第</w:t>
      </w:r>
      <w:r>
        <w:rPr>
          <w:rFonts w:hint="eastAsia" w:ascii="方正黑体_GBK" w:hAnsi="方正黑体_GBK" w:eastAsia="方正黑体_GBK"/>
          <w:bCs/>
          <w:sz w:val="28"/>
          <w:szCs w:val="36"/>
          <w:lang w:val="en-US" w:eastAsia="zh-CN"/>
        </w:rPr>
        <w:t>八</w:t>
      </w:r>
      <w:bookmarkStart w:id="0" w:name="_GoBack"/>
      <w:bookmarkEnd w:id="0"/>
      <w:r>
        <w:rPr>
          <w:rFonts w:ascii="方正黑体_GBK" w:hAnsi="方正黑体_GBK" w:eastAsia="方正黑体_GBK"/>
          <w:bCs/>
          <w:sz w:val="28"/>
          <w:szCs w:val="36"/>
        </w:rPr>
        <w:t>届“赢在昭通”创新创业大赛</w:t>
      </w:r>
      <w:r>
        <w:rPr>
          <w:rFonts w:hint="eastAsia" w:ascii="方正黑体_GBK" w:hAnsi="方正黑体_GBK" w:eastAsia="方正黑体_GBK"/>
          <w:bCs/>
          <w:sz w:val="28"/>
          <w:szCs w:val="36"/>
        </w:rPr>
        <w:t>评分表</w:t>
      </w:r>
    </w:p>
    <w:p w14:paraId="6B17271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Helvetica Neue" w:hAnsi="Helvetica Neue" w:cs="Helvetica Neue"/>
          <w:bCs/>
          <w:kern w:val="0"/>
          <w:sz w:val="28"/>
          <w:szCs w:val="26"/>
        </w:rPr>
      </w:pPr>
    </w:p>
    <w:p w14:paraId="245575D2">
      <w:pPr>
        <w:spacing w:line="440" w:lineRule="atLeast"/>
        <w:rPr>
          <w:rFonts w:ascii="方正仿宋_GBK" w:hAnsi="方正仿宋_GBK" w:eastAsia="方正仿宋_GBK"/>
          <w:bCs/>
          <w:sz w:val="21"/>
          <w:szCs w:val="21"/>
          <w:u w:val="single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赛道名称：</w:t>
      </w:r>
      <w:r>
        <w:rPr>
          <w:rFonts w:hint="eastAsia" w:ascii="方正仿宋_GBK" w:hAnsi="方正仿宋_GBK" w:eastAsia="方正仿宋_GBK"/>
          <w:bCs/>
          <w:sz w:val="21"/>
          <w:szCs w:val="21"/>
          <w:lang w:val="en-US" w:eastAsia="zh-CN"/>
        </w:rPr>
        <w:t xml:space="preserve">                         </w:t>
      </w:r>
      <w:r>
        <w:rPr>
          <w:rFonts w:ascii="方正仿宋_GBK" w:hAnsi="方正仿宋_GBK" w:eastAsia="方正仿宋_GBK" w:cs="Helvetica Neue"/>
          <w:bCs/>
          <w:kern w:val="0"/>
          <w:sz w:val="21"/>
          <w:szCs w:val="21"/>
        </w:rPr>
        <w:t>参赛团队/个人姓名</w:t>
      </w:r>
      <w:r>
        <w:rPr>
          <w:rFonts w:hint="eastAsia" w:ascii="方正仿宋_GBK" w:hAnsi="方正仿宋_GBK" w:eastAsia="方正仿宋_GBK"/>
          <w:bCs/>
          <w:sz w:val="21"/>
          <w:szCs w:val="21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853"/>
        <w:gridCol w:w="5053"/>
        <w:gridCol w:w="1156"/>
      </w:tblGrid>
      <w:tr w14:paraId="4EB2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D10E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打分项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999FB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分值</w:t>
            </w:r>
          </w:p>
        </w:tc>
        <w:tc>
          <w:tcPr>
            <w:tcW w:w="505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B6E45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考核标准</w:t>
            </w: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59D26A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评委打分</w:t>
            </w:r>
          </w:p>
        </w:tc>
      </w:tr>
      <w:tr w14:paraId="366C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228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FBC16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项目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介绍</w:t>
            </w:r>
          </w:p>
        </w:tc>
        <w:tc>
          <w:tcPr>
            <w:tcW w:w="853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2B433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 xml:space="preserve">1分 </w:t>
            </w:r>
          </w:p>
        </w:tc>
        <w:tc>
          <w:tcPr>
            <w:tcW w:w="5053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EF5F7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条理清晰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重点突出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能有效概括整个项目的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市场概貌、营销策略、生产销售、管理计划、财务预测、企业发展目标、团队优势。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具有鲜明的个性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具有吸引力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能突出自身优势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156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0187D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13FF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80ED0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创业规划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7C289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F9419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创业思路清晰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有明确的发展规划和各个阶段的发展目标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战略规划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合理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有明确的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市场定位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投资规模适当，对风险估计充分，解决方案合理有效。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A51AC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7CCC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C277C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创业团队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049E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7B89A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团队结构合理，管理分工明确；团队成员具有相关的教育及工作背景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团队资源及成员能力与项目需求高度匹配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团队成员产权、股权划分适当。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2004B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0432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450BE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发展前景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EF8B5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D8701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项目具备良好的市场前景，符合国家政策方向和经济发展趋势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；项目产品及服务定位清晰，目标顾客群体明确，商业模式或盈利方式构建合理。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3FF11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1AB1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7E65A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市场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营销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0D552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1.5分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6FA0D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市场环境及竞争因素分析准确，项目核心竞争力清晰明显；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合适的市场营销策略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：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成本及定价合理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营销渠道畅通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促销方式有效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具有创新性及吸引力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C2E3C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4CD2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876E8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财务规划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A14D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26DE0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资金结构合理，有明确的财务规划；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有完善并切合实际的融资方案及风险投资退出策略等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B4E9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3615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BD461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风险管理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18351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0.5分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9BD48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对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项目面临的技术、市场、财务等关键风险问题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认识深刻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估计充分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并有合理可行的解决方案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77965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79F2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41DED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创新落地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0304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2分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78DE3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项目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具有较强的创新性和引领性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对于项目实施落地有明确计划；对拉动本市经济，推动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乡村振兴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等方面有明显帮助。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B4AA0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</w:tbl>
    <w:p w14:paraId="105E08A4">
      <w:pPr>
        <w:jc w:val="left"/>
        <w:rPr>
          <w:rFonts w:ascii="方正仿宋_GBK" w:hAnsi="方正仿宋_GBK" w:eastAsia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备注：科技类知识成果需证明由自主创造，否则将取消参赛资格</w:t>
      </w:r>
    </w:p>
    <w:p w14:paraId="49B26C2C">
      <w:pPr>
        <w:spacing w:line="360" w:lineRule="auto"/>
        <w:ind w:firstLine="420" w:firstLineChars="200"/>
        <w:rPr>
          <w:rFonts w:ascii="方正仿宋_GBK" w:hAnsi="方正仿宋_GBK" w:eastAsia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评委签字：</w:t>
      </w:r>
    </w:p>
    <w:p w14:paraId="7F1451A3">
      <w:pPr>
        <w:spacing w:line="360" w:lineRule="auto"/>
        <w:ind w:firstLine="420" w:firstLineChars="200"/>
        <w:rPr>
          <w:rFonts w:ascii="方正仿宋_GBK" w:hAnsi="方正仿宋_GBK" w:eastAsia="方正仿宋_GBK"/>
          <w:bCs/>
          <w:sz w:val="21"/>
          <w:szCs w:val="21"/>
          <w:u w:val="single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分数：（精确到小数点后两位）</w:t>
      </w:r>
    </w:p>
    <w:p w14:paraId="3D5E758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A39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1357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1357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C9D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jA5NjE5YTZlZmExMjBmNzQ2OTA0Yzk2NGI4YjIifQ=="/>
  </w:docVars>
  <w:rsids>
    <w:rsidRoot w:val="17F374AC"/>
    <w:rsid w:val="14A67D1C"/>
    <w:rsid w:val="17F374AC"/>
    <w:rsid w:val="2B85721A"/>
    <w:rsid w:val="6100212C"/>
    <w:rsid w:val="6D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626</Characters>
  <Lines>0</Lines>
  <Paragraphs>0</Paragraphs>
  <TotalTime>7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2022-02-28T02:10:00Z</dcterms:created>
  <dc:creator>婴儿肥</dc:creator>
  <cp:lastModifiedBy>婴儿肥</cp:lastModifiedBy>
  <dcterms:modified xsi:type="dcterms:W3CDTF">2025-06-11T03:17:35Z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AB9EEA0257314CBAB5761A051B9C6665_13</vt:lpwstr>
  </property>
  <property fmtid="{D5CDD505-2E9C-101B-9397-08002B2CF9AE}" pid="4" name="KSOTemplateDocerSaveRecord">
    <vt:lpwstr>eyJoZGlkIjoiMGNkZjA5NjE5YTZlZmExMjBmNzQ2OTA0Yzk2NGI4YjIiLCJ1c2VySWQiOiIyODY3NjA5NTAifQ==</vt:lpwstr>
  </property>
</Properties>
</file>